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Кафедра:  организации режима, охраны и конвоирования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о в а я  р а б о т а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дисциплине: «Организация охраны»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организации смены караулов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7472C" w:rsidRDefault="000D620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2C" w:rsidRDefault="000D620E">
      <w:pPr>
        <w:widowControl w:val="0"/>
        <w:spacing w:before="240" w:after="240" w:line="360" w:lineRule="auto"/>
        <w:ind w:right="2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Выполнил:</w:t>
      </w:r>
    </w:p>
    <w:p w:rsidR="00E7472C" w:rsidRDefault="000D620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Курсант 43 учебной группы 4 курса</w:t>
      </w:r>
    </w:p>
    <w:p w:rsidR="00E7472C" w:rsidRDefault="000D620E">
      <w:pPr>
        <w:widowControl w:val="0"/>
        <w:spacing w:before="240" w:after="240" w:line="360" w:lineRule="auto"/>
        <w:ind w:right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рядовой внутренней службы</w:t>
      </w:r>
    </w:p>
    <w:p w:rsidR="00E7472C" w:rsidRDefault="00561894" w:rsidP="00561894">
      <w:pPr>
        <w:widowControl w:val="0"/>
        <w:spacing w:before="100" w:after="100" w:line="360" w:lineRule="auto"/>
        <w:ind w:left="5040" w:right="1409" w:firstLine="6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Тарханов Сергей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Дмитриевич</w:t>
      </w:r>
    </w:p>
    <w:p w:rsidR="00E7472C" w:rsidRDefault="000D620E">
      <w:pPr>
        <w:widowControl w:val="0"/>
        <w:spacing w:before="100" w:after="100" w:line="360" w:lineRule="auto"/>
        <w:ind w:right="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Научный руководитель:</w:t>
      </w:r>
    </w:p>
    <w:p w:rsidR="00E7472C" w:rsidRDefault="000D620E">
      <w:pPr>
        <w:widowControl w:val="0"/>
        <w:spacing w:before="100" w:after="100" w:line="36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Преподаватель кафедры Ор, О 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</w:p>
    <w:p w:rsidR="00E7472C" w:rsidRDefault="000D620E">
      <w:pPr>
        <w:widowControl w:val="0"/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майор внутренней службы</w:t>
      </w:r>
    </w:p>
    <w:p w:rsidR="00E7472C" w:rsidRDefault="000D620E">
      <w:pPr>
        <w:widowControl w:val="0"/>
        <w:spacing w:before="100" w:after="100" w:line="36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Игорь Викторович</w:t>
      </w:r>
    </w:p>
    <w:p w:rsidR="00E7472C" w:rsidRDefault="000D620E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72C" w:rsidRDefault="000D620E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защиты: «____» __________ 2020 год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Оценка _______________________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72C" w:rsidRDefault="000D620E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E7472C">
          <w:headerReference w:type="default" r:id="rId8"/>
          <w:pgSz w:w="11906" w:h="16838"/>
          <w:pgMar w:top="964" w:right="1134" w:bottom="964" w:left="1134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Новокузнецк, 2020</w:t>
      </w:r>
    </w:p>
    <w:p w:rsidR="00E7472C" w:rsidRDefault="000D620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p w:rsidR="00E7472C" w:rsidRDefault="00E7472C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472C" w:rsidRDefault="000D620E">
      <w:pPr>
        <w:tabs>
          <w:tab w:val="left" w:pos="9072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ВВЕДЕНИЕ………………………………………………………………………..3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1. ПОНЯТИЕ И ОСНОВЫ КАРАУЛЬНОЙ СЛУЖБЫ………………..5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Правовые основы деятельности караульной службы УИС………..5</w:t>
      </w:r>
    </w:p>
    <w:p w:rsidR="00E7472C" w:rsidRDefault="000D620E">
      <w:pPr>
        <w:tabs>
          <w:tab w:val="left" w:pos="9072"/>
        </w:tabs>
        <w:spacing w:after="120" w:line="240" w:lineRule="auto"/>
        <w:ind w:left="1361" w:hanging="5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и его составляющие……………………….....8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2. ОРГАНИЗАЦИЯ ДЕЯТЕЛЬНОСТИ КАРАУЛЬНОЙ СЛУЖБЫ ФСИН……………………………………………………………………………..14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караулов…………………………………………....14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часовых……………………………………………………....20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ЗАКЛЮЧЕНИЕ…………………………………………………………………..22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ИСТОЧНИКОВ…………………………….24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ПРИЛОЖЕНИЯ………………………………………………………………….27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472C" w:rsidRDefault="00E7472C">
      <w:pPr>
        <w:spacing w:after="120" w:line="240" w:lineRule="auto"/>
        <w:ind w:left="792"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72C" w:rsidRDefault="00E747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7472C" w:rsidRDefault="000D620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Уголовно-исполнительная система является одним из важнейших социально-правовых институтов государства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функционирование в большей степени зависит от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и процессов, протекающих в государстве. Вопрос масштабного реформирования деятельности уголовно-исполнительной системы неразрывно связан с необходимостью совершенствования данного института.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структуре ФСИН России подразделения службы охраны на современно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этапе стали ключевым элементом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пожалуй, основной службой, от качества организации служебной деятельности которой, зависит не только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и изоляция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стражей, но и обеспечения безопасности учреждений 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охрана учреждений и объектов уголовно-исполнительной системы продолжает развиваться и совершенствоваться, реализуя требования Концепции развития служб охраны и конвоирования на период до 2020 года и дальнейшую перспективу.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со ст.82 Уголовно-исполнительного кодекса охрана исправительных учреждений, СИЗО и тюрем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комплекс организационно-практических режимных мер, как средство обеспечения режима и обеспечения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изоляции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ихся под стражей, профилактику и недопущения побегов, проникновения на территорию охраняемых объектов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вещей, предметов и несанкционированного вывоза (выноса) с территорий учреждений материальных ценностей.</w:t>
      </w:r>
      <w:proofErr w:type="gramEnd"/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суровая реальность, складывающа</w:t>
      </w:r>
      <w:r>
        <w:rPr>
          <w:rFonts w:ascii="Times New Roman" w:eastAsia="Times New Roman" w:hAnsi="Times New Roman" w:cs="Times New Roman"/>
          <w:sz w:val="28"/>
          <w:szCs w:val="28"/>
        </w:rPr>
        <w:t>яся в настоящее время социально политической ситуации в стране и мире вносит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 коррективы. Наличие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реальных угроз, связанных с криминализацией общества, деятельностью различных террористических организаций, организованных преступных группировок, 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пересмотра традиционного подхода к организации охраны объектов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 Проводимые реформы затронут службу охраны, как никакую другую.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данной темы обусловлена тем, что на сегодняшний день проблемы обеспечения надзора и охраны исследованы не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в практической области имеются значительные проблемы.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 - рассмотреть организацию деятельности караульной службы ФСИН и в частности смены караула.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изучить правовые основы деятельности караульной службы УИС;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определить назначение караулов и их состав;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рассмотреть организацию развода и смены караула.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ПОНЯТИЕ И ОСНОВЫ КАРАУЛЬНОЙ СЛУЖБЫ</w:t>
      </w:r>
    </w:p>
    <w:p w:rsidR="00E7472C" w:rsidRDefault="00E747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Правовые основы деятельности караульной службы УИС</w:t>
      </w:r>
    </w:p>
    <w:p w:rsidR="00E7472C" w:rsidRDefault="00E7472C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Правовую основу служебной деятельности подразделений охраны УИС составляет совокупность нормативных правовых актов от общепризнанных принципов и норм международного права, Конституции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рации, которая закрепляет право каждого на основные политические, социальные, экономические и духовные блага, законодательных актов РФ до ведомственных приказов, инструкций, наставлений и актов локального уровня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ведомственным документом, регламе</w:t>
      </w:r>
      <w:r>
        <w:rPr>
          <w:rFonts w:ascii="Times New Roman" w:eastAsia="Times New Roman" w:hAnsi="Times New Roman" w:cs="Times New Roman"/>
          <w:sz w:val="28"/>
          <w:szCs w:val="28"/>
        </w:rPr>
        <w:t>нтирующим деятельность охраны исправительных учреждений и следственных изоляторов, является приказ Министерства юстиции Российской Федерации от 15 февраля 2006 года «Об утверждении инструкции по охране исправительных учреждений, следственных изоляторов уго</w:t>
      </w:r>
      <w:r>
        <w:rPr>
          <w:rFonts w:ascii="Times New Roman" w:eastAsia="Times New Roman" w:hAnsi="Times New Roman" w:cs="Times New Roman"/>
          <w:sz w:val="28"/>
          <w:szCs w:val="28"/>
        </w:rPr>
        <w:t>ловно-исполнительной системы»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существующий правовой механизм реформирования уголовно-исполнительной системы, многие аспекты правового регулирования охраны исправительных учреждений остаются не разработанными и требуют глубокого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Анализируя положения указанного ранее приказа, необходимо выделить ряд пробелов и недостатков в организации деятельности подразделений охраны, требующих доработки.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«охраны» одновременно обозначая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задачи, а именно: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Охрана учрежде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и их объектов представляет собой комплекс мероприятий, проводимый службой охраны, совместно с оперативными,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режимными и другими службами учреждений в целях обеспечения изоляции, недопущения побегов и других правонарушений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содержащимися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стражей лицами, проникновения на объект нарушителей, перемещения вещей, веществ, предметов и продуктов питания, 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подозреваемым и обвиняемым в совершении преступлений запрещается иметь при себе, обеспечения сохранности материальных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</w:t>
      </w:r>
      <w:r>
        <w:rPr>
          <w:rFonts w:ascii="Times New Roman" w:eastAsia="Times New Roman" w:hAnsi="Times New Roman" w:cs="Times New Roman"/>
          <w:sz w:val="28"/>
          <w:szCs w:val="28"/>
        </w:rPr>
        <w:t>тв учреждения.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следует отметить, что в законодательстве не определяется содержание охраны ИУ. Уголовно-исполнительным кодексом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УИК РФ) регламентируется режим в ИУ (ст. 82), оперативно-розыскная деятельность (ст. 84), условия отбывани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наказания (ст. 87–102), труд и профессиональное образование и профессиональная подготовка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 103–108), воспитательное воздействие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(ст.109–119). Кодекс напрямую не определяет содержание охраны. Ст. 12 Закона РФ «Об учреждениях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органах, исполняющих уголовные наказания в виде лишения свободы» функцию охраны объектов уголовно-исполнительной системы возлагает на специальные подразделения УИС, создаваемые для этих целей при учреждениях, исполняющих наказание. Однако законодателем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определены понятие охраны исправительных учреждений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задачи. Таким образом, на практике нет единого правового акта, который бы в полной мере регулировал данную деятельность.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Попытки сформулировать понятие охраны в ведомственных нормативных правовых ак</w:t>
      </w:r>
      <w:r>
        <w:rPr>
          <w:rFonts w:ascii="Times New Roman" w:eastAsia="Times New Roman" w:hAnsi="Times New Roman" w:cs="Times New Roman"/>
          <w:sz w:val="28"/>
          <w:szCs w:val="28"/>
        </w:rPr>
        <w:t>тах не совсем верно, так как концептуальная сущность, отражающая предмет, содержание и признаки рассматриваемого вида деятельности УИС, в первую очередь, должна быть отражена в уголовно-исполнительном законодательстве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 об обязанностях лиц караула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охране, необходимо уделить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внимание такой фигуре как «разводящий». Основная проблема заключается в том, что данной должности не существует с 1997 года, однако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прописывает и регламентирует его обязанности, а также указывает данную должность, </w:t>
      </w:r>
      <w:r>
        <w:rPr>
          <w:rFonts w:ascii="Times New Roman" w:eastAsia="Times New Roman" w:hAnsi="Times New Roman" w:cs="Times New Roman"/>
          <w:sz w:val="28"/>
          <w:szCs w:val="28"/>
        </w:rPr>
        <w:t>выступающую в качестве лица из состава караула, практически в каждом разделе, что является не совсем целесообразным.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УИС функций по охране учреждений ФСИН России постоянно проводятся комплекс мероприятий по повышению эффективности системы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управления, увеличению глубины охраны и предотвращению побегов в их начальной стадии, изменению способов охраны объектов УИС и как следствие изменение тактики действий караулов и дежурной силы, достижению нового уровня взаимодействия всех структурных подра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зделений в интересах повышения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охраны, усилению контроля состояния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недопущению побегов.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Впервые формулировка «перевод подразделений охраны учреждений уголовно-исполнительной системы на прогрессивные способы несения службы» затрагиваетс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Концепции развития уголовно-исполнительной системы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14 октября 2010 г. № 1772-р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, в ходе такого направления развития уголовно-исполнительной системы как обеспечение междунаро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дных стандартов обращения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местах лишения свободы и лицами, содержащимися под стражей в области обеспечения режима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безопасности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данным нормативно-правовым актом одной из основных задач является модернизация и оптимизация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охраны исправительных учреждений и следственных изоляторов.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стоящей перед уголовно-исполнительной системой задачи, которая сформирована на основе исследований передового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службы охраны исправительных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в России, а также практики функционирования пенитенциарных учреждений зарубежных стран в целях перевода охраны объектов УИС на прогрессивные способы несения службы с наиболее оптимальным количеством персонала, разработана Концепция развития охраны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уголовно-исполнительной системы на период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ФСИН России № 525дсп от 15 декабря 2010 г.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ФСИН России № 2дсп от 31 января 2013 г.).</w:t>
      </w:r>
    </w:p>
    <w:p w:rsidR="00E7472C" w:rsidRDefault="000D620E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данной Концепцией предусмотрен зн</w:t>
      </w:r>
      <w:r>
        <w:rPr>
          <w:rFonts w:ascii="Times New Roman" w:eastAsia="Times New Roman" w:hAnsi="Times New Roman" w:cs="Times New Roman"/>
          <w:sz w:val="28"/>
          <w:szCs w:val="28"/>
        </w:rPr>
        <w:t>ачительно иной подход к организации охраны объектов и их оборудованию инженерно-техническими средствами охраны (ИТСО)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E7472C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по конвоированию, их состав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выполнения служебных задач от отдела охраны учреждений наряжаются караулы, служебные наряды.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Караулом называется группа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предназначенная для охраны объектов, на которых содержатся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 и обвиняемые в соверше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преступлений, или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Сотрудники, входящие в состав караула, кроме начальника караула, его помощников и разводящих,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заступления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посты именуются караульными.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характера выполняе</w:t>
      </w:r>
      <w:r>
        <w:rPr>
          <w:rFonts w:ascii="Times New Roman" w:eastAsia="Times New Roman" w:hAnsi="Times New Roman" w:cs="Times New Roman"/>
          <w:sz w:val="28"/>
          <w:szCs w:val="28"/>
        </w:rPr>
        <w:t>мой служебной задачи караулы бывают: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охране жилых зон исправительных учреждений и следственных изоляторов;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охране жилых и смежных с ними производственных зон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исправительных учреждений;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преступлений из учреждений на обменные пункты и обратно;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жилых зон исправительных колоний на производственные объекты и обратно, охране производственных объектов во время работы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помощи караулам по охране учреждений и их объектов, экстренного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подозреваемых, обвиняемых в совершении преступлений и их охраны в гражданских лечебных учреждениях, охраны имущества учреждения при пожарах, стихийных бедствиях от о</w:t>
      </w:r>
      <w:r>
        <w:rPr>
          <w:rFonts w:ascii="Times New Roman" w:eastAsia="Times New Roman" w:hAnsi="Times New Roman" w:cs="Times New Roman"/>
          <w:sz w:val="28"/>
          <w:szCs w:val="28"/>
        </w:rPr>
        <w:t>тделов охраны учреждений могут назначаться временные караулы.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из учреждений на обменные пункты и обратно в пунктах дислокации учреждений, где отсутствуют специальные подразд</w:t>
      </w:r>
      <w:r>
        <w:rPr>
          <w:rFonts w:ascii="Times New Roman" w:eastAsia="Times New Roman" w:hAnsi="Times New Roman" w:cs="Times New Roman"/>
          <w:sz w:val="28"/>
          <w:szCs w:val="28"/>
        </w:rPr>
        <w:t>еления по конвоированию, назначаются встречные караулы.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 включают перечисленные в Приложении 1.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Современная организация службы дежурной смены по надзору и караулу в глобальном смысле мало чем изменилась со време</w:t>
      </w:r>
      <w:r>
        <w:rPr>
          <w:rFonts w:ascii="Times New Roman" w:eastAsia="Times New Roman" w:hAnsi="Times New Roman" w:cs="Times New Roman"/>
          <w:sz w:val="28"/>
          <w:szCs w:val="28"/>
        </w:rPr>
        <w:t>ни становления. И в настоящее время на сотрудников дежурной смены и караула в принципе возлагаются те же задачи что и более ста лет назад. Что касается технического оснащения и вооружения, то в этом плане имеются некоторые проблемы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основных целе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Концепции развития охраны учреждений уголовно-исполнительной системы на период до 2020 года является повышение эффективности работы по обеспечению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УИС и их объектов.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этой цели необходимо: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определить объем служебных задач для каждого учреждения исходя из его особенностей;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модернизировать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техническое оснащение охраняемых объектов;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перейти на прогрессивные способы охраны учреждений;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создать необходимые условия для качествен</w:t>
      </w:r>
      <w:r>
        <w:rPr>
          <w:rFonts w:ascii="Times New Roman" w:eastAsia="Times New Roman" w:hAnsi="Times New Roman" w:cs="Times New Roman"/>
          <w:sz w:val="28"/>
          <w:szCs w:val="28"/>
        </w:rPr>
        <w:t>ного выполнения служебных задач.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основные усилия были направлены на оборудование охраняемых учреждений современными комплексами ИТСОН, что позволило организовать охрану способом оперативного дежурства караула.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анализа поступающей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формации (опыта ГУФСИН России по Красноярскому краю, УФСИН России по Новосибирской области, УФСИН России по Республике Хакасия) оптимальная численность состава караула составит 8 человек. При определении состава караула учитывались следующие факторы: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тяженность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периметра охраняемого объекта;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наполняемость учреждения и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спецконтингента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интенсивность движения автотранспорта через КПП;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оборудование объекта комплексом ИТСОН и т.д.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караулов входят: НК, ПНК, ПНК по КС, оператор ПУТСО, часовой КПП по пропуску людей (назначается в дневную смену), кинолог – патрульный (назначается в ночную смену), караульные (таблица 1):</w:t>
      </w:r>
    </w:p>
    <w:p w:rsidR="00E7472C" w:rsidRDefault="00E747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– Оптимальный состав караула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E7472C">
        <w:trPr>
          <w:trHeight w:val="643"/>
        </w:trPr>
        <w:tc>
          <w:tcPr>
            <w:tcW w:w="3477" w:type="dxa"/>
            <w:vMerge w:val="restart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E7472C">
        <w:tc>
          <w:tcPr>
            <w:tcW w:w="3477" w:type="dxa"/>
            <w:vMerge/>
          </w:tcPr>
          <w:p w:rsidR="00E7472C" w:rsidRDefault="00E74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472C" w:rsidRDefault="000D62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472C" w:rsidRDefault="00E747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учреждениях, где значительная интенсивность движения автотранспорта через КПП, в состав караула входит группа досмотра (часовой КПП по пропуску транспорта и грузов и специалист - кинолог по досмотру транспортных средств и грузов), численность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караула составит 10 человек (таблица 2).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 – Оптимальный состав караула в учреждениях со значительной интенсивностью движения через КПП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E7472C">
        <w:tc>
          <w:tcPr>
            <w:tcW w:w="3477" w:type="dxa"/>
            <w:vMerge w:val="restart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E7472C">
        <w:tc>
          <w:tcPr>
            <w:tcW w:w="3477" w:type="dxa"/>
            <w:vMerge/>
          </w:tcPr>
          <w:p w:rsidR="00E7472C" w:rsidRDefault="00E74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472C" w:rsidRDefault="000D62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2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72C">
        <w:tc>
          <w:tcPr>
            <w:tcW w:w="3477" w:type="dxa"/>
          </w:tcPr>
          <w:p w:rsidR="00E7472C" w:rsidRDefault="000D620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E7472C" w:rsidRDefault="000D62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состав позволяет эффективно решать стоящие перед караулом задачи без ущерба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объекта. Непосредственно на постах несут службу часовой КПП по пропуску людей, оператор ПУТСО, а в караулах с периметром от 1000 метров и более часовой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наблюдательной вышке на наиболее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участках периметра. В карауле в постоянной готовности к действиям при происшествиях находятся 3 резервные группы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действий караула по пресечению побегов, необходимо обратить внимание и на действия караула при других чрезвычайных обстоятельствах.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небольшую численность личного состава караула, объем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решаемых задач при возникновении чрезвычайных обстоя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 не изменяется. В целях эффективного использования сил и средств при чрезвычайных обстоятельствах необходимо обратить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качественную подготовку личного состава к несению службы в ходе проведения инструктажей и инструктивных занятий с ка</w:t>
      </w:r>
      <w:r>
        <w:rPr>
          <w:rFonts w:ascii="Times New Roman" w:eastAsia="Times New Roman" w:hAnsi="Times New Roman" w:cs="Times New Roman"/>
          <w:sz w:val="28"/>
          <w:szCs w:val="28"/>
        </w:rPr>
        <w:t>раулом;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подготовку личного состава подразделений охраны к действиям при ЧО в ходе занятий по служебно-боевой подготовке, при проведении учений, тренировок, соревнований и т.д.;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создание условий необходимых для решения задач при ЧО.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ОРГАНИЗАЦИЯ ДЕЯТЕЛЬНОСТИ КАРАУЛЬНОЙ СЛУЖБЫ ФСИН</w:t>
      </w:r>
    </w:p>
    <w:p w:rsidR="00E7472C" w:rsidRDefault="00E747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72C" w:rsidRDefault="000D620E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готовности караулов к несению службы осуществляется на разводе, который не должен продолжаться более 20 минут.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Развод караулов производится заместителем начальника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чреждения по охране или начальником отдела охраны учреждения. На развод выводится весь личный состав караула.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установленное время заместитель начальника учреждения по охране (начальник отдела охраны учреждения) прибывает к месту развода караулов. Дежурны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сотрудник докладывает ему о построении караулов для развода. Заместитель начальника учреждения по охране (начальник отдела охраны учреждения) проверяет наличие личного состава караулов, его внешний вид, экипировку, вооружение, знание обязанностей лицами </w:t>
      </w:r>
      <w:r>
        <w:rPr>
          <w:rFonts w:ascii="Times New Roman" w:eastAsia="Times New Roman" w:hAnsi="Times New Roman" w:cs="Times New Roman"/>
          <w:sz w:val="28"/>
          <w:szCs w:val="28"/>
        </w:rPr>
        <w:t>караулов, доводит обстановку на объектах принимаемых под охрану, вручает постовые ведомости, ставит задачу каждому караулу.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постановке задачи караулу указываются: 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 караула и его начальник; 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задача караула, на что следует обратить особое внимани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при несении службы; 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применения оружия, специальных средств и физической силы; меры безопасности; 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порядок взаимодействия с дежурной службой учреждения и другими караулами; 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срок несения службы, время докладов о результатах несения служ</w:t>
      </w:r>
      <w:r>
        <w:rPr>
          <w:rFonts w:ascii="Times New Roman" w:eastAsia="Times New Roman" w:hAnsi="Times New Roman" w:cs="Times New Roman"/>
          <w:sz w:val="28"/>
          <w:szCs w:val="28"/>
        </w:rPr>
        <w:t>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развода дежурный сотрудник обязан обеспечить своевременное прибытие караулов к месту несения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заступаю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щего на службу караула по прибытии к месту расположения сменяемого караула останавливает караул перед входом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огражденную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площадку у караульного помещения, представляется начальнику сменяемого караула и предъявляет ему постовую ведомость, после этого выс</w:t>
      </w:r>
      <w:r>
        <w:rPr>
          <w:rFonts w:ascii="Times New Roman" w:eastAsia="Times New Roman" w:hAnsi="Times New Roman" w:cs="Times New Roman"/>
          <w:sz w:val="28"/>
          <w:szCs w:val="28"/>
        </w:rPr>
        <w:t>траивает свой караул на площадке перед караульным помещением фронтом к нему.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сменяемого караула, убедившись в достоверности постовой ведомости, выводит из караульного помещения свой караул, оставив в нем своего помощника, и выстраивает караул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площадке в шести – восьми шагах перед фронтом нового караула. После построения начальники караулов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начиная с начальника заступающего караула, подают команды «Караул – равняйсь», «Смирно». Подав команды, 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пистолет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ами, приложив руку к головному убору, строевым шагом идут друг к другу навстречу, останавливаются в двух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шагах один от другого и, начиная с начальника заступающего караула, докладывают, например: «Товарищ капитан. Караул для смены прибыл. 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старший лейтенант Михайлов»; «Товарищ старший лейтенант, караул к смене готов. Начальник караула капитан Симонов», после чего опускают руку от головного убора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автоматами, руку к головному убору не прикладывают, а </w:t>
      </w:r>
      <w:r>
        <w:rPr>
          <w:rFonts w:ascii="Times New Roman" w:eastAsia="Times New Roman" w:hAnsi="Times New Roman" w:cs="Times New Roman"/>
          <w:sz w:val="28"/>
          <w:szCs w:val="28"/>
        </w:rPr>
        <w:t>после команды «Смирно» идут друг к другу навстречу, имея автоматы в положении «на ремень».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докладов начальник заступающего караула вводит свой караул в караульное помещение, а начальник сменяемого караула отводит свой личный состав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определенное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Инс</w:t>
      </w:r>
      <w:r>
        <w:rPr>
          <w:rFonts w:ascii="Times New Roman" w:eastAsia="Times New Roman" w:hAnsi="Times New Roman" w:cs="Times New Roman"/>
          <w:sz w:val="28"/>
          <w:szCs w:val="28"/>
        </w:rPr>
        <w:t>трукцией начальнику караула место, оставляет за себя старшего и входит в караульное помещение.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температуре воздуха минус 15 градусов по Цельсию и ниже, а также в ненастную погоду смена караулов производится в караульном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помещении без соблюдения изложен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в настоящем пункте правил. Личный состав заступающего караула, войдя в помещение, ставит оружие в пирамиду. Помощник начальника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помощник начальника заступающего караула принимает караульное помещение и по описи находящиеся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 оборудование, инвентарь, имущество. Начальник сменяемого караула информирует начальника заступающего караула об обстановке на охраняемом объекте, а также сообщает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замечаниях и указаниях, полученных караулом в ходе несения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начальни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заступающего караула командует: «Первая смена – становись». По этой команде караульные первой смены, взяв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оружие, выстраиваются в одну шеренгу в порядке номеров постов справа налево.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заступающего караула проверяет знание обязанностей караульными, ставит им задачи, выводит смену из караульного помещения и выстраивает её на площадке для заряжания оружия.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Первыми заряжают оружие начальники караулов. Затем начальник заступающего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командует: «Смена, справа по одному – заряжай». По этой команде караульные делают шаг вперёд и заряжают оружие, а начальник караула проверяет правильность заряжания оружия. Зарядив оружие, каждый из них докладывает: «Оружие заряжено и поставлено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предохранитель», берет его самостоятельно в положение «на ремень» и делает шаг назад.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смена зарядит оружие, начальник заступающего караула ставит задачи каждому караульному и командует: «Смена, направо, за мной, шагом марш»,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на </w:t>
      </w:r>
      <w:r>
        <w:rPr>
          <w:rFonts w:ascii="Times New Roman" w:eastAsia="Times New Roman" w:hAnsi="Times New Roman" w:cs="Times New Roman"/>
          <w:sz w:val="28"/>
          <w:szCs w:val="28"/>
        </w:rPr>
        <w:t>посты и сменяет часовых. Начальник сменяемого караула следует рядом и левее или впереди начальника нового караула.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караулов, не заряжая своего оружия, сменяют часового-оператора ПУТСО и часового КПП. Затем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мощник начальника заступающего караула производит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остального личного состава караула по резервным группам и ставит задачи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случай действий при происшествиях.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заступающего караула вместе с начальником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обхода и нар</w:t>
      </w:r>
      <w:r>
        <w:rPr>
          <w:rFonts w:ascii="Times New Roman" w:eastAsia="Times New Roman" w:hAnsi="Times New Roman" w:cs="Times New Roman"/>
          <w:sz w:val="28"/>
          <w:szCs w:val="28"/>
        </w:rPr>
        <w:t>ужного осмотра проверяют состояние КСП и ИТСО объекта.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начальника заступающего караула по кинологической службе со служебной собакой без оружия, совместно с дежурным по учреждению или его помощником осматривает состояние внутренней запретной зоны </w:t>
      </w:r>
      <w:r>
        <w:rPr>
          <w:rFonts w:ascii="Times New Roman" w:eastAsia="Times New Roman" w:hAnsi="Times New Roman" w:cs="Times New Roman"/>
          <w:sz w:val="28"/>
          <w:szCs w:val="28"/>
        </w:rPr>
        <w:t>на предмет установления целостности КСП, инженерных средств охраны и обнаружения следов побега.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при смене караулов обнаружатся признаки нарушения КСП, инженерных средств охраны или неисправности, которые могут повлиять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объектов, с</w:t>
      </w:r>
      <w:r>
        <w:rPr>
          <w:rFonts w:ascii="Times New Roman" w:eastAsia="Times New Roman" w:hAnsi="Times New Roman" w:cs="Times New Roman"/>
          <w:sz w:val="28"/>
          <w:szCs w:val="28"/>
        </w:rPr>
        <w:t>мена приостанавливается, о чём немедленно докладывается заместителю начальника учреждения по охране (начальнику отдела охраны учреждения). Принимаются меры к немедленному устранению недостатков, усиливается охрана объекта.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обнаружении следов побега смена караулов приостанавливается, начальник сменяемого караула немедленно усиливает охрану объекта и во главе резервной группы переходит на преследование бежавшего в районе действия караула. Район действия караула определяетс</w:t>
      </w:r>
      <w:r>
        <w:rPr>
          <w:rFonts w:ascii="Times New Roman" w:eastAsia="Times New Roman" w:hAnsi="Times New Roman" w:cs="Times New Roman"/>
          <w:sz w:val="28"/>
          <w:szCs w:val="28"/>
        </w:rPr>
        <w:t>я начальником территориального органа исходя из особенностей места дислокации учреждения.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последний караульный первой смены заступающего караула будет выставлен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</w:t>
      </w:r>
      <w:r>
        <w:rPr>
          <w:rFonts w:ascii="Times New Roman" w:eastAsia="Times New Roman" w:hAnsi="Times New Roman" w:cs="Times New Roman"/>
          <w:sz w:val="28"/>
          <w:szCs w:val="28"/>
        </w:rPr>
        <w:t>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возвращении смены с постов оружие разряжается. Начальник сменяемого караула командует: «Спра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ва, по одному – разряжай». По этой команде караульные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делают шаг вперёд, под наблюдением начальника караула разряжают своё оружие, вкладывают снаряжённые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магазины в сумки и докладывают: «Оружие разряжено», отведя затворную раму назад, предъявляю</w:t>
      </w:r>
      <w:r>
        <w:rPr>
          <w:rFonts w:ascii="Times New Roman" w:eastAsia="Times New Roman" w:hAnsi="Times New Roman" w:cs="Times New Roman"/>
          <w:sz w:val="28"/>
          <w:szCs w:val="28"/>
        </w:rPr>
        <w:t>т оружие к осмотру. Начальник караула осматривает оружие караульных, после чего караульные отпускают затворную раму в переднее положение, спускают курок, ставят оружие на предохранитель, берут оружие в положение «на ремень» и, делая шаг назад, становятся н</w:t>
      </w:r>
      <w:r>
        <w:rPr>
          <w:rFonts w:ascii="Times New Roman" w:eastAsia="Times New Roman" w:hAnsi="Times New Roman" w:cs="Times New Roman"/>
          <w:sz w:val="28"/>
          <w:szCs w:val="28"/>
        </w:rPr>
        <w:t>а своё место. Затем караульные под командой старшего направляются к месту нахождения сменяемого караула, а начальники обоих караулов – в караульное помещение.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 докладывают своим начальникам караулов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сдаче (приёме) караульного помещения, смене часового-оператора ПУТСО и часового КПП, например: «Товарищ старший лейтенант. Караульное помещение, имущество по описи, посты КПП и оператора у ПУТСО сданы (приняты) в исправности (за исключением того-то). Помо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щник начальника караула прапорщик Серегин». Приняв доклады, начальники караулов, начиная со сменяемого, подписывают постовую ведомость сменяемого караула, причём начальник заступающего караула вносит в неё замечания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обнаруженных во время смены недос</w:t>
      </w:r>
      <w:r>
        <w:rPr>
          <w:rFonts w:ascii="Times New Roman" w:eastAsia="Times New Roman" w:hAnsi="Times New Roman" w:cs="Times New Roman"/>
          <w:sz w:val="28"/>
          <w:szCs w:val="28"/>
        </w:rPr>
        <w:t>татках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личный состав сменяемого караула под наблюдением начальника караула производит сдачу оружия и боеприпасов, начальник караула докладывает начальнику отдела охраны учреждения о выполнении задачи, например: «Товарищ майор. Во время несени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службы происшествий не случилось (или случилось то-то). Начальник караула капитан Симонов», после чего докладывает об отмеченных в постовой ведомости результатах проверки караула,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ему постовую ведомость и отличительный нагрудный знак «Начальник кар</w:t>
      </w:r>
      <w:r>
        <w:rPr>
          <w:rFonts w:ascii="Times New Roman" w:eastAsia="Times New Roman" w:hAnsi="Times New Roman" w:cs="Times New Roman"/>
          <w:sz w:val="28"/>
          <w:szCs w:val="28"/>
        </w:rPr>
        <w:t>аула».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</w:t>
      </w:r>
    </w:p>
    <w:p w:rsidR="00E7472C" w:rsidRDefault="00E7472C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часовых в караулах, назначенных на сутки, производится через 2-4 часа, в остальных – согласно графику несения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температуре воздуха минус 20 градусов по Цельсию и ниже, а также во время ветра и при меньшем мор</w:t>
      </w:r>
      <w:r>
        <w:rPr>
          <w:rFonts w:ascii="Times New Roman" w:eastAsia="Times New Roman" w:hAnsi="Times New Roman" w:cs="Times New Roman"/>
          <w:sz w:val="28"/>
          <w:szCs w:val="28"/>
        </w:rPr>
        <w:t>озе смена часовых может производиться чаще.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Если маршрут движения смены караула проходит по режимной территории объекта, на которой находятся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подозреваемые, обвиняемые в совершении преступлений, и отсутствует возможность для выгораживания данно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участка маршрута, дежурный по учреждению (ДПНСИ) по установленному сигналу от начальника караула, заблаговременно, до выхода смены, обеспечивает удаление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с маршрута её движения на расстоян</w:t>
      </w:r>
      <w:r>
        <w:rPr>
          <w:rFonts w:ascii="Times New Roman" w:eastAsia="Times New Roman" w:hAnsi="Times New Roman" w:cs="Times New Roman"/>
          <w:sz w:val="28"/>
          <w:szCs w:val="28"/>
        </w:rPr>
        <w:t>ие (в места), исключающее возможность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нападения на проводящих смену и караульных с целью завладения оружием.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часовых на наблюдательной вышке начальник караула (помощник начальника караула, разводящий), подведя смену к границе поста, останавливает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и командует, например: «Младший сержант Макаров, приступить к приёму поста», после чего смена продолжает движение. Заступающий на пост караульный осматривает участок поста, состояние ИТСО. При подходе к наблюдательной вышке начальник караула (помощник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караула, разводящий) останавливает смену,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Закончив осмотр, начальник караула (помощ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 начальника караула, разводящий) и заступающий на пост караульный поднимаются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наблюдательную вышку, и по команде начальника караула (помощника начальника караула, разводящего): «Часовой, сдать пост», часовой берет оружие в положение «на ремень» и про</w:t>
      </w:r>
      <w:r>
        <w:rPr>
          <w:rFonts w:ascii="Times New Roman" w:eastAsia="Times New Roman" w:hAnsi="Times New Roman" w:cs="Times New Roman"/>
          <w:sz w:val="28"/>
          <w:szCs w:val="28"/>
        </w:rPr>
        <w:t>изводит словесную сдачу поста. Словесная сдача поста состоит в том, что часовой, назвав номер поста, перечисляет всё, что подлежит охране на посту в соответствии с табелем поста, а также указывает, что было замечено им вблизи поста в период несения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словесной сдачи поста часовым заступающий на пост караульный осматривает с наблюдательной вышки внутреннюю запретную зону объекта в пределах границ принимаемого поста, проверяет состояние наблюдательной вышки (окон, дверей, запоров), постовой одежды</w:t>
      </w:r>
      <w:r>
        <w:rPr>
          <w:rFonts w:ascii="Times New Roman" w:eastAsia="Times New Roman" w:hAnsi="Times New Roman" w:cs="Times New Roman"/>
          <w:sz w:val="28"/>
          <w:szCs w:val="28"/>
        </w:rPr>
        <w:t>, исправность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язи, приборов освещения, оповещения и другого оборудования.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заступающий на пост караульный становятся лицом в сторону охраняемого объекта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докладывают, например: «Товарищ капитан, </w:t>
      </w:r>
      <w:r>
        <w:rPr>
          <w:rFonts w:ascii="Times New Roman" w:eastAsia="Times New Roman" w:hAnsi="Times New Roman" w:cs="Times New Roman"/>
          <w:sz w:val="28"/>
          <w:szCs w:val="28"/>
        </w:rPr>
        <w:t>сержант Серегин пост номер такой-то сдал», «Товарищ капитан, младший сержант Макаров пост номер такой-то принял».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доклада и получения указаний от начальника караула (помощника начальника караула, разводящего) часовой приступает к выполнению своих обязанностей на посту.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часовых по команде начальника караула (помощника начальника караула, разводящего),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например: «Сержант Серегин, с поста шагом – марш», сменившийся караульный становится позади смены. После этого начальник караула (помощник начальника караула, разводящий) командует: «Смена, за мной шагом – марш»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к следующему посту, где анало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гичным образом производится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сдача поста.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часового-оператора ПУТСО заступающий на пост караульный в присутствии часового-оператора ПУТСО принимает по описи документацию и аппаратуру, проверяет её исправность и правильность записей в аппара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тном журнале, не выходя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внутреннюю запретную зону в границах поста и крышу КПП. Закончив сдачу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поста, часовой и караульный по очереди докладывают помощникам начальников караула, например: «Товарищ прапорщик, сержант Василье</w:t>
      </w:r>
      <w:r>
        <w:rPr>
          <w:rFonts w:ascii="Times New Roman" w:eastAsia="Times New Roman" w:hAnsi="Times New Roman" w:cs="Times New Roman"/>
          <w:sz w:val="28"/>
          <w:szCs w:val="28"/>
        </w:rPr>
        <w:t>в пост сдал в исправности», «Товарищ прапорщик, сержант Осипов пост принял в исправности».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смене часового КПП караульный, заступающий на пост по команде помощника начальника караула, входит в помещение часового КПП.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 караульный проверяе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исправность дверей, запоров, оконных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ворот, шлагбаумов, средств механизации, связи и оповещения КПП, принимает по описи служебную документацию и инвентарь, а также паспорта и пропуска на лиц, вошедших на объект.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обнаруженны</w:t>
      </w:r>
      <w:r>
        <w:rPr>
          <w:rFonts w:ascii="Times New Roman" w:eastAsia="Times New Roman" w:hAnsi="Times New Roman" w:cs="Times New Roman"/>
          <w:sz w:val="28"/>
          <w:szCs w:val="28"/>
        </w:rPr>
        <w:t>х при этом недостатках делает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запись в постовой ведомости сменяемого караула.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караульный по очереди докладывают помощникам начальников караула, например: «Товарищ прапорщик, сержант Зайцев пост сдал», «Товарищ прапор</w:t>
      </w:r>
      <w:r>
        <w:rPr>
          <w:rFonts w:ascii="Times New Roman" w:eastAsia="Times New Roman" w:hAnsi="Times New Roman" w:cs="Times New Roman"/>
          <w:sz w:val="28"/>
          <w:szCs w:val="28"/>
        </w:rPr>
        <w:t>щик, младший сержант Миронов пост принял».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несении службы способом патрулирования смена часовых производится у разграничительного знака между охраняемыми участками запретной зоны.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часового на положение караульного (караульного на положение часо</w:t>
      </w:r>
      <w:r>
        <w:rPr>
          <w:rFonts w:ascii="Times New Roman" w:eastAsia="Times New Roman" w:hAnsi="Times New Roman" w:cs="Times New Roman"/>
          <w:sz w:val="28"/>
          <w:szCs w:val="28"/>
        </w:rPr>
        <w:t>вого) определяется моментом их докладов после слов «сдал», «принял».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заключении следует отметить, что повышение эффективности правового регулирования служебной деятельности подразделений охраны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актуальным вопросом их оптимально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функционирования. Нормативная правовая база не в полной степени соответствует современным условиям несения службы по охране учреждений УИС и их объектов. Проанализировав некоторые положения приказа Министерства юстиции Российской Федерации от 15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2006 года № 21 «Об утверждении инструкции по охране исправительных учреждений, следственных изоляторов уголовно-исполнительной системы», мы выявили ряд моментов, требующих кардинального пересмотра и внесения дополнений. Анализ показал, что, несмотря на су</w:t>
      </w:r>
      <w:r>
        <w:rPr>
          <w:rFonts w:ascii="Times New Roman" w:eastAsia="Times New Roman" w:hAnsi="Times New Roman" w:cs="Times New Roman"/>
          <w:sz w:val="28"/>
          <w:szCs w:val="28"/>
        </w:rPr>
        <w:t>ществующий правовой механизм охраны объектов УИС, многие его аспекты требуют совершенствования. Возможно, что реализация указанных выше предложений позволит укрепить правовую базу осуществления охраны следственных изоляторов, исправительных учреждений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объектов и повысить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их охраны.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современном этапе развития уголовно – исполнительной системы, служба охраны претерпевает изменения связанные с оптимизацией численности сотрудников и переходом на прогрессивные способы охраны объектов.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указанных тенденций невозможна без внедрения новейших технических средств охраны, изменения тактики действий караулов, реконструкции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технического оборудования, слаженного взаимодействия оперативных, режимных, и других служб со службой охраны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Основной задачей при переходе на прогрессивные способы охраны является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 при меньшем количестве привлекаемых для этого сил и средств.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службе караулов есть наиболее важное направление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работы должностных ли</w:t>
      </w:r>
      <w:r>
        <w:rPr>
          <w:rFonts w:ascii="Times New Roman" w:eastAsia="Times New Roman" w:hAnsi="Times New Roman" w:cs="Times New Roman"/>
          <w:sz w:val="28"/>
          <w:szCs w:val="28"/>
        </w:rPr>
        <w:t>ц отделов охраны учреждений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От качества этой работы напрямую зависит и результат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готовности караулов к несению службы осуществляется на разводе, который не должен продолжаться более 20 минут. После развода дежурный сотрудник обязан обеспе</w:t>
      </w:r>
      <w:r>
        <w:rPr>
          <w:rFonts w:ascii="Times New Roman" w:eastAsia="Times New Roman" w:hAnsi="Times New Roman" w:cs="Times New Roman"/>
          <w:sz w:val="28"/>
          <w:szCs w:val="28"/>
        </w:rPr>
        <w:t>чить своевременное прибытие караулов к месту несения службы.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Когда последний караульный первой смены заступающего караула будет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роль службы караула чрезвычайно важна. Сотрудники служб охраны обязаны строго соблюдать законность, выполнять служебные задачи с полным напряжением моральных и физических сил, проявлять при этом стойкость, мужество, смелость, выносливость</w:t>
      </w:r>
      <w:r>
        <w:rPr>
          <w:rFonts w:ascii="Times New Roman" w:eastAsia="Times New Roman" w:hAnsi="Times New Roman" w:cs="Times New Roman"/>
          <w:sz w:val="28"/>
          <w:szCs w:val="28"/>
        </w:rPr>
        <w:t>, честность и неподкупность, разумную инициативу и находчивость.</w:t>
      </w:r>
    </w:p>
    <w:p w:rsidR="00E7472C" w:rsidRDefault="000D620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Уголовно-исполнительный кодекс Российской Федерации от 08.01.1997 № 1-ФЗ (ред. от 31.07.2020) (с изм. и доп., вступ. в силу с 29.09.2020)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ительства РФ от 14 октября 2010 г. № 1772-р «Об утверждении Концепции развития уголовно-исполнительной системы РФ до 2020 г.»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по охране исправительных учреждений, следственных изоляторов уголовно-исполнительной системы: утверждена приказом Минис</w:t>
      </w:r>
      <w:r>
        <w:rPr>
          <w:rFonts w:ascii="Times New Roman" w:eastAsia="Times New Roman" w:hAnsi="Times New Roman" w:cs="Times New Roman"/>
          <w:sz w:val="28"/>
          <w:szCs w:val="28"/>
        </w:rPr>
        <w:t>терства юстиции Российской Федерации от 15 февраля 2006 г. № 21.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состоянии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исправительных учреждении и следственных изоляторов в 2019 г. и мерах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совершенствованию: обзорное письмо ФСИН России от 12 марта 2020 г. № исх.-03-16070.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асильев В.Е. Организация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 – 126 с.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В.Б. Современные тенденции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 охраны исправительных учреждений и следственных изоляторов уголовно-исполнительной системы // Теоретические и практические проблемы развития уголовно-исполнительной системы в Российской Федерации и за рубежом: сборник тезисов выступлений и докладов уча</w:t>
      </w:r>
      <w:r>
        <w:rPr>
          <w:rFonts w:ascii="Times New Roman" w:eastAsia="Times New Roman" w:hAnsi="Times New Roman" w:cs="Times New Roman"/>
          <w:sz w:val="28"/>
          <w:szCs w:val="28"/>
        </w:rPr>
        <w:t>стников Международной научно-практической конференции. – Рязань, 2018. – С. 234-242.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Дашкин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В.С. Организационно-правовые аспекты деятельности дежурной смены и караула исправительной колонии ФСИН России // Актуальные проблемы организации деятельности органов и учреждений уголовно-исправительной системы и пути их решения: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межвузовс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научно-практической конференции,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посвященной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памяти заслуженного деятеля науки РСФСР, доктора юридических наук, профессора А.И. Зубкова и Дню российской науки. - Рязань, 2020. – С. 74-79.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Карпухина Е.А. Некоторые проблемные вопросы обеспечения охраны объектов УИС // Пермский период: сборник материалов VI Международного научно-спортивного фестиваля курсантов и студентов. – Пермь, 2019. – С. 35-36.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Эрастов А.Е., Грек А.Д.,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ковлев А.Ю.,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 С. 38-41.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Перевод подразделений охраны учреждений УИС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Академия ФСИН России. – Рязань, 2015. – С. 39-43.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Вопросы совершенствования охраны в уголовно-исполнительной системе в целях укрепления правопорядка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законности // Уголовно-исполнительная политика и вопросы исполнения уголовных наказаний: сборник материалов Международной научно-практической конференции (Рязань, 24–25 ноября, 2016). - Рязань: Академия ФСИН России, 2016. - С. 142–146.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Мох А.В.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Кузбасского институт: сборник научных статей. – Новокузнецк. – 2018. – С. 50-53.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Опар И.П. Организация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конвоированием // Ведомости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но-исполнительной системы. – 2016. - № 1(164). – С. 49-52.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Прокофьев С.В. Перевод учреждений УИС на прогрессивные способы охраны и конвоирования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реализации основных положений Концепции развития служб охраны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конвоирования уголовно-исполнительной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системы на период до 2020 года и перспективы развития //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Уголовно-исполнительная система России: проблемы и перспективы: материалы Международной научной конференции адъюнктов, аспирантов, курсантов и студентов. – Самара – 2015. – С. 215-218.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Семенова Л.Ю.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вопросу о взаимодействии отделов и служб при обеспечении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ФСИН России // Уголовно-исполнительная система: педагогика, психология и право: Материалы межрегиональной научно-практической конференции. Томск, 2017. - С. 66–70.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Солома</w:t>
      </w:r>
      <w:r>
        <w:rPr>
          <w:rFonts w:ascii="Times New Roman" w:eastAsia="Times New Roman" w:hAnsi="Times New Roman" w:cs="Times New Roman"/>
          <w:sz w:val="28"/>
          <w:szCs w:val="28"/>
        </w:rPr>
        <w:t>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316-319.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 Особенно</w:t>
      </w:r>
      <w:r>
        <w:rPr>
          <w:rFonts w:ascii="Times New Roman" w:eastAsia="Times New Roman" w:hAnsi="Times New Roman" w:cs="Times New Roman"/>
          <w:sz w:val="28"/>
          <w:szCs w:val="28"/>
        </w:rPr>
        <w:t>сти охраны следственных изоляторов и тюрем // Человек: преступление и наказание: Сборник материалов Международной научно-теоретической конференции адъюнктов, аспирантов, соискателей, курсантов и студентов. В 3-х частях. – Рязань, 2020. – С. 37-44.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Цаплин И</w:t>
      </w:r>
      <w:r>
        <w:rPr>
          <w:rFonts w:ascii="Times New Roman" w:eastAsia="Times New Roman" w:hAnsi="Times New Roman" w:cs="Times New Roman"/>
          <w:sz w:val="28"/>
          <w:szCs w:val="28"/>
        </w:rPr>
        <w:t>.С. Некоторые вопросы правового регулирования охраны исправительных учреждений и следственных изоляторов // Юридическая наука и практика. - 2017. - С. 308-310.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Черняев С.В. Актуальные проблемы деятельности подразделений УИС: сб. материалов Всероссийской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Воронежский институт ФСИН России, Воронеж, 2013. – Т. 1. – С. 382.</w:t>
      </w:r>
    </w:p>
    <w:p w:rsidR="00E7472C" w:rsidRDefault="000D62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Южанини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 Тактико-специальная подготовка. Организация конвоирования в уголовно-исполнительной системе. Курс лекций. - Томск</w:t>
      </w:r>
      <w:r>
        <w:rPr>
          <w:rFonts w:ascii="Times New Roman" w:eastAsia="Times New Roman" w:hAnsi="Times New Roman" w:cs="Times New Roman"/>
          <w:sz w:val="28"/>
          <w:szCs w:val="28"/>
        </w:rPr>
        <w:t>: Томский филиал Кузбасского института ФСИН России, 2015. –235 с.</w: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both"/>
      </w:pPr>
    </w:p>
    <w:p w:rsidR="00E7472C" w:rsidRDefault="000D620E">
      <w:pPr>
        <w:widowControl w:val="0"/>
        <w:spacing w:after="0" w:line="360" w:lineRule="auto"/>
        <w:ind w:firstLine="709"/>
        <w:jc w:val="both"/>
      </w:pPr>
      <w:r>
        <w:br w:type="page"/>
      </w:r>
    </w:p>
    <w:p w:rsidR="00E7472C" w:rsidRDefault="000D620E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7472C" w:rsidRDefault="00E7472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</w:t>
      </w:r>
    </w:p>
    <w:p w:rsidR="00E7472C" w:rsidRDefault="00E7472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0D62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19800" cy="6657975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6657975"/>
                          <a:chOff x="0" y="0"/>
                          <a:chExt cx="6019800" cy="665797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019800" cy="6657975"/>
                            <a:chOff x="0" y="0"/>
                            <a:chExt cx="6019800" cy="665797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0" y="0"/>
                              <a:ext cx="6019800" cy="665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Нашивка 4"/>
                          <wps:cNvSpPr/>
                          <wps:spPr>
                            <a:xfrm rot="5400000">
                              <a:off x="-100234" y="345047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оле 5"/>
                          <wps:cNvSpPr txBox="1"/>
                          <wps:spPr>
                            <a:xfrm>
                              <a:off x="1" y="478693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6" name="Прямоугольник с двумя скругленными соседними углами 6"/>
                          <wps:cNvSpPr/>
                          <wps:spPr>
                            <a:xfrm rot="5400000">
                              <a:off x="2874131" y="-2314029"/>
                              <a:ext cx="739300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Поле 7"/>
                          <wps:cNvSpPr txBox="1"/>
                          <wps:spPr>
                            <a:xfrm>
                              <a:off x="467763" y="128429"/>
                              <a:ext cx="5515947" cy="667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E7472C" w:rsidRDefault="000D620E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предписание начальнику караула - при всех видах конвоирования; предписание помощнику начальника караула - при плановом, сквозном и особом конвоировании, а при встречном конвоировании только для тех помощников начальника караула, которые лично производят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пр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ием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осужденных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в местах лишения свободы или направляются частью состава караула на обменный пункт; план охраны - при всех видах конвоирования</w:t>
                                </w:r>
                              </w:p>
                              <w:p w:rsidR="00E7472C" w:rsidRDefault="00E7472C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8" name="Нашивка 8"/>
                          <wps:cNvSpPr/>
                          <wps:spPr>
                            <a:xfrm rot="5400000">
                              <a:off x="-100234" y="10166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Поле 9"/>
                          <wps:cNvSpPr txBox="1"/>
                          <wps:spPr>
                            <a:xfrm>
                              <a:off x="1" y="11503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0" name="Прямоугольник с двумя скругленными соседними углами 10"/>
                          <wps:cNvSpPr/>
                          <wps:spPr>
                            <a:xfrm rot="5400000">
                              <a:off x="3026605" y="-162336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оле 11"/>
                          <wps:cNvSpPr txBox="1"/>
                          <wps:spPr>
                            <a:xfrm>
                              <a:off x="467763" y="95668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путевая ведомость - при плановом, сквозном (в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самолетах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) конвоировании; путевой журнал - при плановом, сквозном и встречном конвоировании; квитанционная книжка - при всех видах конвоирования; удостоверение на право розыска и задержания бежавших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2" name="Нашивка 12"/>
                          <wps:cNvSpPr/>
                          <wps:spPr>
                            <a:xfrm rot="5400000">
                              <a:off x="-100234" y="1573985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Поле 13"/>
                          <wps:cNvSpPr txBox="1"/>
                          <wps:spPr>
                            <a:xfrm>
                              <a:off x="1" y="1707631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4" name="Прямоугольник с двумя скругленными соседними углами 14"/>
                          <wps:cNvSpPr/>
                          <wps:spPr>
                            <a:xfrm rot="5400000">
                              <a:off x="3026605" y="-1085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Поле 15"/>
                          <wps:cNvSpPr txBox="1"/>
                          <wps:spPr>
                            <a:xfrm>
                              <a:off x="467763" y="149495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E7472C" w:rsidRDefault="000D620E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командировочное удостоверение - сотрудникам при их убытии несения службы в отрыве от пункта постоянной дислокации территориального органа ФСИН России на срок более суток</w:t>
                                </w:r>
                              </w:p>
                              <w:p w:rsidR="00E7472C" w:rsidRDefault="00E7472C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6" name="Нашивка 16"/>
                          <wps:cNvSpPr/>
                          <wps:spPr>
                            <a:xfrm rot="5400000">
                              <a:off x="-100234" y="2188454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е 17"/>
                          <wps:cNvSpPr txBox="1"/>
                          <wps:spPr>
                            <a:xfrm>
                              <a:off x="1" y="2322100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8" name="Прямоугольник с двумя скругленными соседними углами 18"/>
                          <wps:cNvSpPr/>
                          <wps:spPr>
                            <a:xfrm rot="5400000">
                              <a:off x="3026605" y="-470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Поле 19"/>
                          <wps:cNvSpPr txBox="1"/>
                          <wps:spPr>
                            <a:xfrm>
                              <a:off x="467763" y="2109422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E7472C" w:rsidRDefault="000D620E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меню-раскладку, инструкцию по приготовлению пищи - когда горячая пища готовится непосредственно в карауле</w:t>
                                </w:r>
                              </w:p>
                              <w:p w:rsidR="00E7472C" w:rsidRDefault="00E7472C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0" name="Нашивка 20"/>
                          <wps:cNvSpPr/>
                          <wps:spPr>
                            <a:xfrm rot="5400000">
                              <a:off x="-100234" y="280292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Поле 21"/>
                          <wps:cNvSpPr txBox="1"/>
                          <wps:spPr>
                            <a:xfrm>
                              <a:off x="1" y="293656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2" name="Прямоугольник с двумя скругленными соседними углами 22"/>
                          <wps:cNvSpPr/>
                          <wps:spPr>
                            <a:xfrm rot="5400000">
                              <a:off x="3026605" y="143845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Поле 23"/>
                          <wps:cNvSpPr txBox="1"/>
                          <wps:spPr>
                            <a:xfrm>
                              <a:off x="467763" y="2723891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(форма № 1) - при несении службы или возвращении в пункт постоянной дислокации территориального органа ФСИН России, после выполнения задачи пассажирским, автомобильным, железнодорожным, воздушным или водным транспортом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4" name="Нашивка 24"/>
                          <wps:cNvSpPr/>
                          <wps:spPr>
                            <a:xfrm rot="5400000">
                              <a:off x="-100234" y="35397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Поле 25"/>
                          <wps:cNvSpPr txBox="1"/>
                          <wps:spPr>
                            <a:xfrm>
                              <a:off x="1" y="36734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6" name="Прямоугольник с двумя скругленными соседними углами 26"/>
                          <wps:cNvSpPr/>
                          <wps:spPr>
                            <a:xfrm rot="5400000">
                              <a:off x="2904233" y="880685"/>
                              <a:ext cx="679095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е 27"/>
                          <wps:cNvSpPr txBox="1"/>
                          <wps:spPr>
                            <a:xfrm>
                              <a:off x="467763" y="3350307"/>
                              <a:ext cx="5518886" cy="612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рма № 2) - при плановом и сквозном конвоировании по железнодорожным маршрутам; наличные деньги (при необходимости) на покупку горюче - смазочных материалов на автозаправочных станциях (при несении службы на автотранспорте) и на приобретение продуктов питан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ия; бланки служебных телеграмм, различных актов и заявок на прицепку специального вагона к поезду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8" name="Нашивка 28"/>
                          <wps:cNvSpPr/>
                          <wps:spPr>
                            <a:xfrm rot="5400000">
                              <a:off x="-100234" y="4154232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Поле 29"/>
                          <wps:cNvSpPr txBox="1"/>
                          <wps:spPr>
                            <a:xfrm>
                              <a:off x="1" y="4287878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0" name="Прямоугольник с двумя скругленными соседними углами 30"/>
                          <wps:cNvSpPr/>
                          <wps:spPr>
                            <a:xfrm rot="5400000">
                              <a:off x="3026605" y="1495154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Поле 31"/>
                          <wps:cNvSpPr txBox="1"/>
                          <wps:spPr>
                            <a:xfrm>
                              <a:off x="467763" y="4075200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постовая ведомость встречного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2" name="Нашивка 32"/>
                          <wps:cNvSpPr/>
                          <wps:spPr>
                            <a:xfrm rot="5400000">
                              <a:off x="-100234" y="4768701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Поле 33"/>
                          <wps:cNvSpPr txBox="1"/>
                          <wps:spPr>
                            <a:xfrm>
                              <a:off x="1" y="4902347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4" name="Прямоугольник с двумя скругленными соседними углами 34"/>
                          <wps:cNvSpPr/>
                          <wps:spPr>
                            <a:xfrm rot="5400000">
                              <a:off x="3026605" y="2109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Поле 35"/>
                          <wps:cNvSpPr txBox="1"/>
                          <wps:spPr>
                            <a:xfrm>
                              <a:off x="467763" y="4689669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путевой лист особого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6" name="Нашивка 36"/>
                          <wps:cNvSpPr/>
                          <wps:spPr>
                            <a:xfrm rot="5400000">
                              <a:off x="-100234" y="5383170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Поле 37"/>
                          <wps:cNvSpPr txBox="1"/>
                          <wps:spPr>
                            <a:xfrm>
                              <a:off x="1" y="5516816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8" name="Прямоугольник с двумя скругленными соседними углами 38"/>
                          <wps:cNvSpPr/>
                          <wps:spPr>
                            <a:xfrm rot="5400000">
                              <a:off x="3026605" y="2724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Поле 39"/>
                          <wps:cNvSpPr txBox="1"/>
                          <wps:spPr>
                            <a:xfrm>
                              <a:off x="467763" y="5304138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план воспитательной работы и морально психологического обеспечения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40" name="Нашивка 40"/>
                          <wps:cNvSpPr/>
                          <wps:spPr>
                            <a:xfrm rot="5400000">
                              <a:off x="-100234" y="5997638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Поле 41"/>
                          <wps:cNvSpPr txBox="1"/>
                          <wps:spPr>
                            <a:xfrm>
                              <a:off x="1" y="6131284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42" name="Прямоугольник с двумя скругленными соседними углами 42"/>
                          <wps:cNvSpPr/>
                          <wps:spPr>
                            <a:xfrm rot="5400000">
                              <a:off x="3026605" y="3338561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472C" w:rsidRDefault="00E7472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оле 43"/>
                          <wps:cNvSpPr txBox="1"/>
                          <wps:spPr>
                            <a:xfrm>
                              <a:off x="467763" y="5918607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472C" w:rsidRDefault="000D620E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1"/>
                                  </w:rPr>
                                  <w:t>план охраны, путевой журнал и квитанционная книжка должны быть прошнурованы, пронумерованы и учтены в канцелярии управления (самостоятельного отдела) по конвоированию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019800" cy="66579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6657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2C" w:rsidRDefault="00E7472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E7472C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0E" w:rsidRDefault="000D620E">
      <w:pPr>
        <w:spacing w:after="0" w:line="240" w:lineRule="auto"/>
      </w:pPr>
      <w:r>
        <w:separator/>
      </w:r>
    </w:p>
  </w:endnote>
  <w:endnote w:type="continuationSeparator" w:id="0">
    <w:p w:rsidR="000D620E" w:rsidRDefault="000D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0E" w:rsidRDefault="000D620E">
      <w:pPr>
        <w:spacing w:after="0" w:line="240" w:lineRule="auto"/>
      </w:pPr>
      <w:r>
        <w:separator/>
      </w:r>
    </w:p>
  </w:footnote>
  <w:footnote w:type="continuationSeparator" w:id="0">
    <w:p w:rsidR="000D620E" w:rsidRDefault="000D620E">
      <w:pPr>
        <w:spacing w:after="0" w:line="240" w:lineRule="auto"/>
      </w:pPr>
      <w:r>
        <w:continuationSeparator/>
      </w:r>
    </w:p>
  </w:footnote>
  <w:footnote w:id="1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2013. – С. 39.</w:t>
      </w:r>
    </w:p>
  </w:footnote>
  <w:footnote w:id="2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 от 08.01.1997 № 1-ФЗ (ред. от 31.07.2020) (с изм. и доп., вступ. в силу с 29.09.2020)</w:t>
      </w:r>
    </w:p>
  </w:footnote>
  <w:footnote w:id="3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Черняев С.В. Актуальные проблемы деятельности подразделений УИС: сб. материалов Всероссийской научно-практической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Вороне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жский институт ФСИН России, Воронеж, 2013. – Т. 1. – С. 382</w:t>
      </w:r>
    </w:p>
  </w:footnote>
  <w:footnote w:id="4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Мох А.В. Совершенствование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Кузбасского институт: сборник научных статей. – Новокузнецк. – 2018. – С. 52.</w:t>
      </w:r>
    </w:p>
  </w:footnote>
  <w:footnote w:id="5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Инструкция по охране исправительных учреждений, следственных изоляторов уголовно-исполнительной системы: утверждена приказом Министерства юстиции Российской Федерации от 15 февраля 2006 г. № 21</w:t>
      </w:r>
    </w:p>
  </w:footnote>
  <w:footnote w:id="6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Федерации от 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.01.1997 № 1-ФЗ (ред. от 31.07.2020) (с изм. и доп., вступ. в силу с 29.09.2020)</w:t>
      </w:r>
    </w:p>
  </w:footnote>
  <w:footnote w:id="7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Цаплин И.С. Некоторые вопросы правового регулирования охраны исправительных учреждений и следственных изоляторов // Юридическая наука и практика. - 2017. - С. 308.</w:t>
      </w:r>
    </w:p>
  </w:footnote>
  <w:footnote w:id="8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Распоряжение Правительства РФ от 14 октября 2010 г. № 1772-р «Об утверждении Концепции развития уголовно-исполнительной системы РФ до 2020 г.»</w:t>
      </w:r>
    </w:p>
  </w:footnote>
  <w:footnote w:id="9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Прокофьев С. В. Перевод учреждений УИС на прогрессивные способы охраны и конвоирования в рамках реализации осн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овных положений Концепции развития служб охраны и конвоирования уголовно-исполнительной системы на период до 2020 года и перспективы развития // Уголовно-исполнительная система России: проблемы и перспективы: материалы Международной научной конференции адъ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юнктов, аспирантов, курсантов и студентов.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амара – 2015. – С. 215.</w:t>
      </w:r>
    </w:p>
  </w:footnote>
  <w:footnote w:id="10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2015. – С. 39.</w:t>
      </w:r>
    </w:p>
  </w:footnote>
  <w:footnote w:id="11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А.А., Эрастов А.Е., Грек А.Д., Яковлев А.Ю.,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Тюриков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–С. 39.</w:t>
      </w:r>
    </w:p>
  </w:footnote>
  <w:footnote w:id="12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Соломатин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317.</w:t>
      </w:r>
    </w:p>
  </w:footnote>
  <w:footnote w:id="13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Васильев В.Е. Орган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</w:t>
      </w:r>
    </w:p>
  </w:footnote>
  <w:footnote w:id="14">
    <w:p w:rsidR="00E7472C" w:rsidRDefault="000D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 В.Е. Организация службы охраны и розыска в учреждениях ФСИН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Курс лекций / ДФ ФКОУ ВПО Кузбасский институт ФСИН России. - Новокузнецк: ФКОУ ВПО Кузбасский институт ФСИН России,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2C" w:rsidRDefault="00E747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2C" w:rsidRDefault="000D6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561894">
      <w:rPr>
        <w:rFonts w:ascii="Times New Roman" w:eastAsia="Times New Roman" w:hAnsi="Times New Roman" w:cs="Times New Roman"/>
        <w:color w:val="000000"/>
      </w:rPr>
      <w:fldChar w:fldCharType="separate"/>
    </w:r>
    <w:r w:rsidR="00561894">
      <w:rPr>
        <w:rFonts w:ascii="Times New Roman" w:eastAsia="Times New Roman" w:hAnsi="Times New Roman" w:cs="Times New Roman"/>
        <w:noProof/>
        <w:color w:val="000000"/>
      </w:rPr>
      <w:t>27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011F"/>
    <w:multiLevelType w:val="multilevel"/>
    <w:tmpl w:val="4C4A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472C"/>
    <w:rsid w:val="000D620E"/>
    <w:rsid w:val="00561894"/>
    <w:rsid w:val="00E7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5589</Words>
  <Characters>31863</Characters>
  <Application>Microsoft Office Word</Application>
  <DocSecurity>0</DocSecurity>
  <Lines>265</Lines>
  <Paragraphs>74</Paragraphs>
  <ScaleCrop>false</ScaleCrop>
  <Company/>
  <LinksUpToDate>false</LinksUpToDate>
  <CharactersWithSpaces>37378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2021-03-11T18:57:00Z</dcterms:created>
  <dcterms:modified xsi:type="dcterms:W3CDTF">2021-03-11T18:58:00Z</dcterms:modified>
</cp:coreProperties>
</file>